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75A224" w14:textId="77777777" w:rsidR="00A95911" w:rsidRPr="00931C7A" w:rsidRDefault="00A95911" w:rsidP="00931C7A">
      <w:pPr>
        <w:spacing w:after="120"/>
        <w:jc w:val="center"/>
        <w:rPr>
          <w:rFonts w:ascii="Arial Narrow" w:hAnsi="Arial Narrow"/>
          <w:b/>
          <w:sz w:val="24"/>
        </w:rPr>
      </w:pPr>
    </w:p>
    <w:p w14:paraId="4F33887C" w14:textId="51854C0B" w:rsidR="00931C7A" w:rsidRPr="00DE7CCB" w:rsidRDefault="00931C7A" w:rsidP="00931C7A">
      <w:pPr>
        <w:pStyle w:val="Bullets"/>
        <w:numPr>
          <w:ilvl w:val="0"/>
          <w:numId w:val="0"/>
        </w:numPr>
        <w:ind w:left="360"/>
        <w:jc w:val="center"/>
        <w:rPr>
          <w:rFonts w:ascii="Arial Narrow" w:hAnsi="Arial Narrow"/>
          <w:b/>
          <w:sz w:val="30"/>
          <w:szCs w:val="30"/>
        </w:rPr>
      </w:pPr>
      <w:r w:rsidRPr="00DE7CCB">
        <w:rPr>
          <w:rFonts w:ascii="Arial Narrow" w:hAnsi="Arial Narrow"/>
          <w:b/>
          <w:sz w:val="30"/>
          <w:szCs w:val="30"/>
        </w:rPr>
        <w:t>REDUCING TRANSPORT EMISSIONS AND RAISING CLIMATE FINANCE</w:t>
      </w:r>
    </w:p>
    <w:p w14:paraId="581B36ED" w14:textId="211B91B6" w:rsidR="00931C7A" w:rsidRPr="00A853D9" w:rsidRDefault="00931C7A" w:rsidP="000911F2">
      <w:pPr>
        <w:pStyle w:val="Bullets"/>
        <w:numPr>
          <w:ilvl w:val="0"/>
          <w:numId w:val="0"/>
        </w:numPr>
        <w:ind w:left="360"/>
        <w:jc w:val="center"/>
        <w:rPr>
          <w:rFonts w:ascii="Arial Narrow" w:hAnsi="Arial Narrow"/>
          <w:b/>
          <w:sz w:val="28"/>
        </w:rPr>
      </w:pPr>
      <w:r w:rsidRPr="00A853D9">
        <w:rPr>
          <w:rFonts w:ascii="Arial Narrow" w:hAnsi="Arial Narrow"/>
          <w:b/>
          <w:sz w:val="28"/>
        </w:rPr>
        <w:t>SENDING THE RIGHT SIGNAL TO THE IMO AND THE ICAO AT COP18</w:t>
      </w:r>
    </w:p>
    <w:p w14:paraId="27171617" w14:textId="77777777" w:rsidR="00931C7A" w:rsidRDefault="00931C7A" w:rsidP="00DA6DA9">
      <w:pPr>
        <w:pStyle w:val="Bullets"/>
        <w:numPr>
          <w:ilvl w:val="0"/>
          <w:numId w:val="0"/>
        </w:numPr>
        <w:ind w:left="360"/>
        <w:jc w:val="both"/>
        <w:rPr>
          <w:rFonts w:ascii="Arial Narrow" w:hAnsi="Arial Narrow"/>
          <w:sz w:val="24"/>
        </w:rPr>
      </w:pPr>
    </w:p>
    <w:p w14:paraId="3BEDBADC" w14:textId="77777777" w:rsidR="00387135" w:rsidRDefault="00387135" w:rsidP="00DA6DA9">
      <w:pPr>
        <w:pStyle w:val="Bullets"/>
        <w:numPr>
          <w:ilvl w:val="0"/>
          <w:numId w:val="0"/>
        </w:numPr>
        <w:ind w:left="360"/>
        <w:jc w:val="both"/>
        <w:rPr>
          <w:rFonts w:ascii="Arial Narrow" w:hAnsi="Arial Narrow"/>
          <w:sz w:val="24"/>
        </w:rPr>
      </w:pPr>
      <w:bookmarkStart w:id="0" w:name="_GoBack"/>
      <w:bookmarkEnd w:id="0"/>
    </w:p>
    <w:p w14:paraId="42394454" w14:textId="498D7E14" w:rsidR="00814D11" w:rsidRPr="00814D11" w:rsidRDefault="00FE3BDB" w:rsidP="00814D11">
      <w:pPr>
        <w:pStyle w:val="Bullets"/>
        <w:numPr>
          <w:ilvl w:val="0"/>
          <w:numId w:val="0"/>
        </w:numPr>
        <w:ind w:left="360"/>
        <w:jc w:val="both"/>
        <w:rPr>
          <w:rFonts w:ascii="Arial Narrow" w:hAnsi="Arial Narrow"/>
          <w:i/>
          <w:sz w:val="24"/>
        </w:rPr>
      </w:pPr>
      <w:r w:rsidRPr="00814D11">
        <w:rPr>
          <w:rFonts w:ascii="Arial Narrow" w:hAnsi="Arial Narrow"/>
          <w:i/>
          <w:sz w:val="24"/>
        </w:rPr>
        <w:t>International aviation and maritime transport are major and fast-growing sources of greenhouse gas emissions, while being under-taxed from an environmental perspective</w:t>
      </w:r>
      <w:r w:rsidR="003535D3" w:rsidRPr="00814D11">
        <w:rPr>
          <w:rFonts w:ascii="Arial Narrow" w:hAnsi="Arial Narrow"/>
          <w:i/>
          <w:sz w:val="24"/>
        </w:rPr>
        <w:t>.</w:t>
      </w:r>
      <w:r w:rsidRPr="00814D11">
        <w:rPr>
          <w:rStyle w:val="Marquenotebasdepage"/>
          <w:rFonts w:ascii="Arial Narrow" w:hAnsi="Arial Narrow"/>
          <w:b/>
          <w:i/>
          <w:sz w:val="24"/>
          <w:lang w:val="en-GB"/>
        </w:rPr>
        <w:footnoteReference w:id="1"/>
      </w:r>
      <w:r w:rsidRPr="00814D11">
        <w:rPr>
          <w:rFonts w:ascii="Arial Narrow" w:hAnsi="Arial Narrow"/>
          <w:i/>
          <w:sz w:val="24"/>
        </w:rPr>
        <w:t xml:space="preserve"> Yet there is high potential to reduce those emissions globally, beyond the energy efficiency measures developed and considered under the International Civil Aviation Organization (ICAO) and the International Maritime Organization (IMO).</w:t>
      </w:r>
      <w:r w:rsidRPr="00814D11">
        <w:rPr>
          <w:rStyle w:val="Marquenotebasdepage"/>
          <w:rFonts w:ascii="Arial Narrow" w:hAnsi="Arial Narrow"/>
          <w:b/>
          <w:i/>
          <w:sz w:val="24"/>
          <w:lang w:val="en-GB"/>
        </w:rPr>
        <w:footnoteReference w:id="2"/>
      </w:r>
      <w:r w:rsidRPr="00814D11">
        <w:rPr>
          <w:rFonts w:ascii="Arial Narrow" w:hAnsi="Arial Narrow"/>
          <w:i/>
          <w:sz w:val="24"/>
        </w:rPr>
        <w:t xml:space="preserve"> Carbon pricing would be an effective means of addressing this situation and can be applied fairly and equitably. In addition, it could raise considerable funds to support climate action in developing countries, and in the maritime and aviation sectors.</w:t>
      </w:r>
    </w:p>
    <w:p w14:paraId="67D9F865" w14:textId="29FF10A6" w:rsidR="00FE3BDB" w:rsidRPr="00931C7A" w:rsidRDefault="00FE3BDB" w:rsidP="000911F2">
      <w:pPr>
        <w:pStyle w:val="Bullets"/>
        <w:numPr>
          <w:ilvl w:val="0"/>
          <w:numId w:val="0"/>
        </w:numPr>
        <w:ind w:left="360"/>
        <w:jc w:val="both"/>
        <w:rPr>
          <w:rFonts w:ascii="Arial Narrow" w:hAnsi="Arial Narrow"/>
          <w:sz w:val="24"/>
        </w:rPr>
      </w:pPr>
      <w:r w:rsidRPr="00931C7A">
        <w:rPr>
          <w:rFonts w:ascii="Arial Narrow" w:hAnsi="Arial Narrow"/>
          <w:sz w:val="24"/>
        </w:rPr>
        <w:t xml:space="preserve"> </w:t>
      </w:r>
    </w:p>
    <w:p w14:paraId="29069CD9" w14:textId="70031EDF" w:rsidR="00DB64F2" w:rsidRDefault="00B34EA9" w:rsidP="000911F2">
      <w:pPr>
        <w:pStyle w:val="Bullets"/>
        <w:numPr>
          <w:ilvl w:val="0"/>
          <w:numId w:val="0"/>
        </w:numPr>
        <w:ind w:left="360"/>
        <w:jc w:val="both"/>
        <w:rPr>
          <w:rFonts w:ascii="Arial Narrow" w:hAnsi="Arial Narrow"/>
          <w:sz w:val="24"/>
        </w:rPr>
      </w:pPr>
      <w:r w:rsidRPr="00B34EA9">
        <w:rPr>
          <w:rFonts w:ascii="Arial Narrow" w:hAnsi="Arial Narrow"/>
          <w:b/>
          <w:sz w:val="24"/>
        </w:rPr>
        <w:t>Establishing global mitigation mechanisms.</w:t>
      </w:r>
      <w:r>
        <w:rPr>
          <w:rFonts w:ascii="Arial Narrow" w:hAnsi="Arial Narrow"/>
          <w:sz w:val="24"/>
        </w:rPr>
        <w:t xml:space="preserve"> </w:t>
      </w:r>
      <w:r w:rsidR="00FE3BDB" w:rsidRPr="00931C7A">
        <w:rPr>
          <w:rFonts w:ascii="Arial Narrow" w:hAnsi="Arial Narrow"/>
          <w:sz w:val="24"/>
        </w:rPr>
        <w:t xml:space="preserve">While the UNFCCC should set the climate targets, ICAO and IMO should develop global measures to reduce GHG emissions from international aviation and maritime transport (bunker fuels), and to develop and implement measures based on fairness and efficiency in addressing the collective challenge of mitigating and adapting to climate change. COP18 should adopt a decision that supports efforts by ICAO and IMO to complete the development of global policy frameworks for GHG emissions from international aviation and maritime transport, respectively, including carbon pricing of their emissions, by 2015. </w:t>
      </w:r>
    </w:p>
    <w:p w14:paraId="392E8ABE" w14:textId="77777777" w:rsidR="00814D11" w:rsidRPr="00931C7A" w:rsidRDefault="00814D11" w:rsidP="000911F2">
      <w:pPr>
        <w:pStyle w:val="Bullets"/>
        <w:numPr>
          <w:ilvl w:val="0"/>
          <w:numId w:val="0"/>
        </w:numPr>
        <w:ind w:left="360"/>
        <w:jc w:val="both"/>
        <w:rPr>
          <w:rFonts w:ascii="Arial Narrow" w:hAnsi="Arial Narrow"/>
          <w:sz w:val="24"/>
        </w:rPr>
      </w:pPr>
    </w:p>
    <w:p w14:paraId="079C156A" w14:textId="19201C13" w:rsidR="00FE3BDB" w:rsidRDefault="00B34EA9" w:rsidP="00DA6DA9">
      <w:pPr>
        <w:pStyle w:val="Bullets"/>
        <w:numPr>
          <w:ilvl w:val="0"/>
          <w:numId w:val="0"/>
        </w:numPr>
        <w:ind w:left="360"/>
        <w:jc w:val="both"/>
        <w:rPr>
          <w:rFonts w:ascii="Arial Narrow" w:hAnsi="Arial Narrow"/>
          <w:sz w:val="24"/>
        </w:rPr>
      </w:pPr>
      <w:r w:rsidRPr="00B34EA9">
        <w:rPr>
          <w:rFonts w:ascii="Arial Narrow" w:hAnsi="Arial Narrow"/>
          <w:b/>
          <w:sz w:val="24"/>
        </w:rPr>
        <w:t>Adressing potential impact on the poorest countries.</w:t>
      </w:r>
      <w:r>
        <w:rPr>
          <w:rFonts w:ascii="Arial Narrow" w:hAnsi="Arial Narrow"/>
          <w:sz w:val="24"/>
        </w:rPr>
        <w:t xml:space="preserve"> </w:t>
      </w:r>
      <w:r w:rsidRPr="00931C7A">
        <w:rPr>
          <w:rFonts w:ascii="Arial Narrow" w:hAnsi="Arial Narrow"/>
          <w:sz w:val="24"/>
        </w:rPr>
        <w:t xml:space="preserve">To enable such progress, the decision should clarify how the principle of common but differentiated responsibilities and respective capabilities (CBDRRC) may be operationalized in these inherently global and complex sectors, without distorting competition and avoiding carbon leakage. </w:t>
      </w:r>
      <w:r w:rsidR="00FE3BDB" w:rsidRPr="00931C7A">
        <w:rPr>
          <w:rFonts w:ascii="Arial Narrow" w:hAnsi="Arial Narrow"/>
          <w:sz w:val="24"/>
        </w:rPr>
        <w:t>The most promising option for addressing impacts on developing country economies in our view is through the use of revenues generated by carbon pricing to address potential burden on poor countries.</w:t>
      </w:r>
      <w:r w:rsidR="00FE3BDB" w:rsidRPr="00931C7A">
        <w:rPr>
          <w:rStyle w:val="Marquenotebasdepage"/>
          <w:rFonts w:ascii="Arial Narrow" w:hAnsi="Arial Narrow"/>
          <w:sz w:val="24"/>
        </w:rPr>
        <w:footnoteReference w:id="3"/>
      </w:r>
      <w:r w:rsidR="00FE3BDB" w:rsidRPr="00931C7A">
        <w:rPr>
          <w:rFonts w:ascii="Arial Narrow" w:hAnsi="Arial Narrow"/>
          <w:sz w:val="24"/>
        </w:rPr>
        <w:t xml:space="preserve"> However, other approaches may also be explored, particularly for the aviation sector, such as </w:t>
      </w:r>
      <w:r w:rsidR="00FE3BDB" w:rsidRPr="00931C7A">
        <w:rPr>
          <w:rFonts w:ascii="Arial Narrow" w:hAnsi="Arial Narrow"/>
          <w:i/>
          <w:sz w:val="24"/>
        </w:rPr>
        <w:t>de minimis</w:t>
      </w:r>
      <w:r w:rsidR="00FE3BDB" w:rsidRPr="00931C7A">
        <w:rPr>
          <w:rFonts w:ascii="Arial Narrow" w:hAnsi="Arial Narrow"/>
          <w:sz w:val="24"/>
        </w:rPr>
        <w:t xml:space="preserve"> clauses, distribution of emission allowances under an ETS mechanism (in the less than optimal outcome of partial free allocation of allowances) to ensure equitable distributional effects for developed and developing countries, phase-in periods, or by providing technical support to developing countries in complying with the agreed measures. In the case of using revenues to address impacts, the main international reports on innovative finance (by the AGF and the World Bank and IMF</w:t>
      </w:r>
      <w:r w:rsidR="00FE3BDB" w:rsidRPr="00931C7A">
        <w:rPr>
          <w:rStyle w:val="Marquenotebasdepage"/>
          <w:rFonts w:ascii="Arial Narrow" w:hAnsi="Arial Narrow"/>
          <w:sz w:val="24"/>
        </w:rPr>
        <w:footnoteReference w:id="4"/>
      </w:r>
      <w:r w:rsidR="00FE3BDB" w:rsidRPr="00931C7A">
        <w:rPr>
          <w:rFonts w:ascii="Arial Narrow" w:hAnsi="Arial Narrow"/>
          <w:sz w:val="24"/>
        </w:rPr>
        <w:t>) estimate that up to 40% of revenues would be used to address impacts on developing countries, i.e., through rebates.</w:t>
      </w:r>
    </w:p>
    <w:p w14:paraId="7DBBEC06" w14:textId="77777777" w:rsidR="00DB64F2" w:rsidRPr="00931C7A" w:rsidRDefault="00DB64F2" w:rsidP="00DA6DA9">
      <w:pPr>
        <w:pStyle w:val="Bullets"/>
        <w:numPr>
          <w:ilvl w:val="0"/>
          <w:numId w:val="0"/>
        </w:numPr>
        <w:ind w:left="360"/>
        <w:jc w:val="both"/>
        <w:rPr>
          <w:rFonts w:ascii="Arial Narrow" w:hAnsi="Arial Narrow"/>
          <w:sz w:val="24"/>
        </w:rPr>
      </w:pPr>
    </w:p>
    <w:p w14:paraId="542AA40D" w14:textId="77777777" w:rsidR="00814D11" w:rsidRDefault="00B34EA9" w:rsidP="00DA6DA9">
      <w:pPr>
        <w:pStyle w:val="Bullets"/>
        <w:numPr>
          <w:ilvl w:val="0"/>
          <w:numId w:val="0"/>
        </w:numPr>
        <w:ind w:left="360"/>
        <w:jc w:val="both"/>
        <w:rPr>
          <w:rFonts w:ascii="Arial Narrow" w:hAnsi="Arial Narrow"/>
          <w:sz w:val="24"/>
        </w:rPr>
      </w:pPr>
      <w:r w:rsidRPr="00B34EA9">
        <w:rPr>
          <w:rFonts w:ascii="Arial Narrow" w:hAnsi="Arial Narrow"/>
          <w:b/>
          <w:sz w:val="24"/>
        </w:rPr>
        <w:lastRenderedPageBreak/>
        <w:t>Using the revenue to mitigate transport emissio</w:t>
      </w:r>
      <w:r w:rsidR="008524D8">
        <w:rPr>
          <w:rFonts w:ascii="Arial Narrow" w:hAnsi="Arial Narrow"/>
          <w:b/>
          <w:sz w:val="24"/>
        </w:rPr>
        <w:t>ns and fund adaptation needs in</w:t>
      </w:r>
      <w:r w:rsidRPr="00B34EA9">
        <w:rPr>
          <w:rFonts w:ascii="Arial Narrow" w:hAnsi="Arial Narrow"/>
          <w:b/>
          <w:sz w:val="24"/>
        </w:rPr>
        <w:t xml:space="preserve"> developing countries.</w:t>
      </w:r>
      <w:r>
        <w:rPr>
          <w:rFonts w:ascii="Arial Narrow" w:hAnsi="Arial Narrow"/>
          <w:sz w:val="24"/>
        </w:rPr>
        <w:t xml:space="preserve"> </w:t>
      </w:r>
    </w:p>
    <w:p w14:paraId="09EE2D2C" w14:textId="02E457F3" w:rsidR="00FE3BDB" w:rsidRPr="00931C7A" w:rsidRDefault="00FE3BDB" w:rsidP="00814D11">
      <w:pPr>
        <w:pStyle w:val="Bullets"/>
        <w:numPr>
          <w:ilvl w:val="0"/>
          <w:numId w:val="5"/>
        </w:numPr>
        <w:jc w:val="both"/>
        <w:rPr>
          <w:rFonts w:ascii="Arial Narrow" w:hAnsi="Arial Narrow"/>
          <w:sz w:val="24"/>
        </w:rPr>
      </w:pPr>
      <w:r w:rsidRPr="00931C7A">
        <w:rPr>
          <w:rFonts w:ascii="Arial Narrow" w:hAnsi="Arial Narrow"/>
          <w:sz w:val="24"/>
        </w:rPr>
        <w:t xml:space="preserve">Part of the remaining funds may be used to finance emissions reductions, both inside and outside the respective international transport sectors, to meet the emissions reductions objectives established. These reductions could be achieved through financing NAMAs, or through purchasing emissions allowances from outside the sector. Options that allow for the use of offsets from other mechanisms would need to be carefully assessed and include stringent quality standards. The experience with JI and CDM has shown that a large fraction of such offsets are not additional. </w:t>
      </w:r>
    </w:p>
    <w:p w14:paraId="1147A42A" w14:textId="77777777" w:rsidR="00FE3BDB" w:rsidRPr="00931C7A" w:rsidRDefault="00FE3BDB" w:rsidP="00814D11">
      <w:pPr>
        <w:pStyle w:val="Bullets"/>
        <w:numPr>
          <w:ilvl w:val="0"/>
          <w:numId w:val="5"/>
        </w:numPr>
        <w:jc w:val="both"/>
        <w:rPr>
          <w:rFonts w:ascii="Arial Narrow" w:hAnsi="Arial Narrow"/>
          <w:sz w:val="24"/>
        </w:rPr>
      </w:pPr>
      <w:r w:rsidRPr="00931C7A">
        <w:rPr>
          <w:rFonts w:ascii="Arial Narrow" w:hAnsi="Arial Narrow"/>
          <w:sz w:val="24"/>
        </w:rPr>
        <w:t>The remaining revenues from such carbon pricing mechanisms could be channeled to the Green Climate Fund as international climate finance, although only the part attributed to developed countries (according to agreed criteria) should be counted towards the fulfillment of the financial commitment to mobilize 100bn USD annually by 2020. The AGF found that after addressing the incidence on developing countries, up to $18 billion in climate finance for developing countries could be available from shipping and up to $6 billion from aviation, at a carbon price of $25/tCO</w:t>
      </w:r>
      <w:r w:rsidRPr="00931C7A">
        <w:rPr>
          <w:rFonts w:ascii="Arial Narrow" w:hAnsi="Arial Narrow"/>
          <w:sz w:val="24"/>
          <w:vertAlign w:val="subscript"/>
        </w:rPr>
        <w:t>2</w:t>
      </w:r>
      <w:r w:rsidRPr="00931C7A">
        <w:rPr>
          <w:rFonts w:ascii="Arial Narrow" w:hAnsi="Arial Narrow"/>
          <w:sz w:val="24"/>
        </w:rPr>
        <w:t>.</w:t>
      </w:r>
      <w:r w:rsidRPr="00931C7A">
        <w:rPr>
          <w:rStyle w:val="Marquenotebasdepage"/>
          <w:rFonts w:ascii="Arial Narrow" w:hAnsi="Arial Narrow"/>
          <w:sz w:val="24"/>
        </w:rPr>
        <w:footnoteReference w:id="5"/>
      </w:r>
      <w:r w:rsidRPr="00931C7A">
        <w:rPr>
          <w:rFonts w:ascii="Arial Narrow" w:hAnsi="Arial Narrow"/>
          <w:sz w:val="24"/>
        </w:rPr>
        <w:t xml:space="preserve"> </w:t>
      </w:r>
    </w:p>
    <w:p w14:paraId="2D206118" w14:textId="77777777" w:rsidR="00A95911" w:rsidRDefault="00A95911" w:rsidP="00FE3BDB">
      <w:pPr>
        <w:pStyle w:val="FreeForm"/>
        <w:spacing w:before="120"/>
        <w:rPr>
          <w:rFonts w:asciiTheme="majorHAnsi" w:hAnsiTheme="majorHAnsi" w:cstheme="majorHAnsi"/>
          <w:szCs w:val="22"/>
        </w:rPr>
      </w:pPr>
    </w:p>
    <w:p w14:paraId="798C120D" w14:textId="77777777" w:rsidR="00931C7A" w:rsidRDefault="00931C7A" w:rsidP="00FE3BDB">
      <w:pPr>
        <w:pStyle w:val="FreeForm"/>
        <w:spacing w:before="120"/>
        <w:rPr>
          <w:rFonts w:asciiTheme="majorHAnsi" w:hAnsiTheme="majorHAnsi" w:cstheme="majorHAnsi"/>
          <w:szCs w:val="22"/>
        </w:rPr>
      </w:pPr>
    </w:p>
    <w:p w14:paraId="3A7A86E8" w14:textId="77777777" w:rsidR="00BB37FF" w:rsidRDefault="00BB37FF" w:rsidP="00FE3BDB">
      <w:pPr>
        <w:pStyle w:val="FreeForm"/>
        <w:spacing w:before="120"/>
        <w:rPr>
          <w:rFonts w:asciiTheme="majorHAnsi" w:hAnsiTheme="majorHAnsi" w:cstheme="majorHAnsi"/>
          <w:szCs w:val="22"/>
        </w:rPr>
      </w:pPr>
    </w:p>
    <w:p w14:paraId="1D1731AE" w14:textId="77777777" w:rsidR="00BB37FF" w:rsidRPr="00931C7A" w:rsidRDefault="00BB37FF" w:rsidP="00FE3BDB">
      <w:pPr>
        <w:pStyle w:val="FreeForm"/>
        <w:spacing w:before="120"/>
        <w:rPr>
          <w:rFonts w:asciiTheme="majorHAnsi" w:hAnsiTheme="majorHAnsi" w:cstheme="majorHAnsi"/>
          <w:szCs w:val="22"/>
        </w:rPr>
      </w:pPr>
    </w:p>
    <w:p w14:paraId="388F3C75" w14:textId="3FD19503" w:rsidR="00CB5C10" w:rsidRPr="00686B12" w:rsidRDefault="00FE3BDB" w:rsidP="00DA6DA9">
      <w:pPr>
        <w:pBdr>
          <w:top w:val="single" w:sz="4" w:space="1" w:color="auto"/>
          <w:left w:val="single" w:sz="4" w:space="4" w:color="auto"/>
          <w:bottom w:val="single" w:sz="4" w:space="1" w:color="auto"/>
          <w:right w:val="single" w:sz="4" w:space="4" w:color="auto"/>
        </w:pBdr>
        <w:shd w:val="clear" w:color="auto" w:fill="FFFFFF"/>
        <w:spacing w:before="120"/>
        <w:jc w:val="both"/>
        <w:rPr>
          <w:rFonts w:ascii="Arial Narrow" w:hAnsi="Arial Narrow" w:cstheme="majorHAnsi"/>
          <w:b/>
          <w:i/>
          <w:color w:val="222222"/>
          <w:sz w:val="28"/>
          <w:lang w:val="en-GB" w:eastAsia="en-US"/>
        </w:rPr>
      </w:pPr>
      <w:r w:rsidRPr="00686B12">
        <w:rPr>
          <w:rFonts w:ascii="Arial Narrow" w:hAnsi="Arial Narrow" w:cstheme="majorHAnsi"/>
          <w:b/>
          <w:i/>
          <w:color w:val="222222"/>
          <w:sz w:val="28"/>
          <w:lang w:val="en-US" w:eastAsia="en-US"/>
        </w:rPr>
        <w:t xml:space="preserve">We recommend that </w:t>
      </w:r>
      <w:r w:rsidR="00FC2409" w:rsidRPr="00686B12">
        <w:rPr>
          <w:rFonts w:ascii="Arial Narrow" w:hAnsi="Arial Narrow" w:cstheme="majorHAnsi"/>
          <w:b/>
          <w:i/>
          <w:color w:val="222222"/>
          <w:sz w:val="28"/>
          <w:lang w:val="en-US" w:eastAsia="en-US"/>
        </w:rPr>
        <w:t>COP18 send a</w:t>
      </w:r>
      <w:r w:rsidR="00BD30DD" w:rsidRPr="00686B12">
        <w:rPr>
          <w:rFonts w:ascii="Arial Narrow" w:hAnsi="Arial Narrow" w:cstheme="majorHAnsi"/>
          <w:b/>
          <w:i/>
          <w:color w:val="222222"/>
          <w:sz w:val="28"/>
          <w:lang w:val="en-US" w:eastAsia="en-US"/>
        </w:rPr>
        <w:t xml:space="preserve"> </w:t>
      </w:r>
      <w:r w:rsidR="00A95911" w:rsidRPr="00686B12">
        <w:rPr>
          <w:rFonts w:ascii="Arial Narrow" w:hAnsi="Arial Narrow" w:cstheme="majorHAnsi"/>
          <w:b/>
          <w:i/>
          <w:color w:val="222222"/>
          <w:sz w:val="28"/>
          <w:lang w:val="en-US" w:eastAsia="en-US"/>
        </w:rPr>
        <w:t>signal</w:t>
      </w:r>
      <w:r w:rsidR="009F4974" w:rsidRPr="00686B12">
        <w:rPr>
          <w:rFonts w:ascii="Arial Narrow" w:hAnsi="Arial Narrow" w:cstheme="majorHAnsi"/>
          <w:b/>
          <w:i/>
          <w:color w:val="222222"/>
          <w:sz w:val="28"/>
          <w:lang w:val="en-US" w:eastAsia="en-US"/>
        </w:rPr>
        <w:t xml:space="preserve"> </w:t>
      </w:r>
      <w:r w:rsidR="00931C7A" w:rsidRPr="00686B12">
        <w:rPr>
          <w:rFonts w:ascii="Arial Narrow" w:hAnsi="Arial Narrow" w:cstheme="majorHAnsi"/>
          <w:b/>
          <w:i/>
          <w:color w:val="222222"/>
          <w:sz w:val="28"/>
          <w:lang w:val="en-US" w:eastAsia="en-US"/>
        </w:rPr>
        <w:t xml:space="preserve">- </w:t>
      </w:r>
      <w:r w:rsidR="009F4974" w:rsidRPr="00686B12">
        <w:rPr>
          <w:rFonts w:ascii="Arial Narrow" w:hAnsi="Arial Narrow" w:cstheme="majorHAnsi"/>
          <w:b/>
          <w:i/>
          <w:color w:val="222222"/>
          <w:sz w:val="28"/>
          <w:lang w:val="en-US" w:eastAsia="en-US"/>
        </w:rPr>
        <w:t>through the LCA</w:t>
      </w:r>
      <w:r w:rsidR="00A95911" w:rsidRPr="00686B12">
        <w:rPr>
          <w:rFonts w:ascii="Arial Narrow" w:hAnsi="Arial Narrow" w:cstheme="majorHAnsi"/>
          <w:b/>
          <w:i/>
          <w:color w:val="222222"/>
          <w:sz w:val="28"/>
          <w:lang w:val="en-US" w:eastAsia="en-US"/>
        </w:rPr>
        <w:t> </w:t>
      </w:r>
      <w:r w:rsidR="00931C7A" w:rsidRPr="00686B12">
        <w:rPr>
          <w:rFonts w:ascii="Arial Narrow" w:hAnsi="Arial Narrow" w:cstheme="majorHAnsi"/>
          <w:b/>
          <w:i/>
          <w:color w:val="222222"/>
          <w:sz w:val="28"/>
          <w:lang w:val="en-US" w:eastAsia="en-US"/>
        </w:rPr>
        <w:t xml:space="preserve">- </w:t>
      </w:r>
      <w:r w:rsidR="00A95911" w:rsidRPr="00686B12">
        <w:rPr>
          <w:rFonts w:ascii="Arial Narrow" w:hAnsi="Arial Narrow" w:cstheme="majorHAnsi"/>
          <w:b/>
          <w:i/>
          <w:color w:val="222222"/>
          <w:sz w:val="28"/>
          <w:lang w:val="en-US" w:eastAsia="en-US"/>
        </w:rPr>
        <w:t>to the International Maritime Organisation (IMO) a</w:t>
      </w:r>
      <w:r w:rsidR="00A95911" w:rsidRPr="00686B12">
        <w:rPr>
          <w:rFonts w:ascii="Arial Narrow" w:hAnsi="Arial Narrow" w:cstheme="majorHAnsi"/>
          <w:b/>
          <w:i/>
          <w:color w:val="222222"/>
          <w:sz w:val="28"/>
          <w:lang w:val="en-GB" w:eastAsia="en-US"/>
        </w:rPr>
        <w:t>nd th</w:t>
      </w:r>
      <w:r w:rsidR="00A95911" w:rsidRPr="00686B12">
        <w:rPr>
          <w:rFonts w:ascii="Arial Narrow" w:hAnsi="Arial Narrow" w:cstheme="majorHAnsi"/>
          <w:b/>
          <w:i/>
          <w:color w:val="222222"/>
          <w:sz w:val="28"/>
          <w:lang w:val="en-US" w:eastAsia="en-US"/>
        </w:rPr>
        <w:t>e Interna</w:t>
      </w:r>
      <w:r w:rsidR="00A95911" w:rsidRPr="00686B12">
        <w:rPr>
          <w:rFonts w:ascii="Arial Narrow" w:hAnsi="Arial Narrow" w:cstheme="majorHAnsi"/>
          <w:b/>
          <w:i/>
          <w:color w:val="500050"/>
          <w:sz w:val="28"/>
          <w:lang w:val="de-DE" w:eastAsia="en-US"/>
        </w:rPr>
        <w:t>t</w:t>
      </w:r>
      <w:r w:rsidR="00A95911" w:rsidRPr="00686B12">
        <w:rPr>
          <w:rFonts w:ascii="Arial Narrow" w:hAnsi="Arial Narrow" w:cstheme="majorHAnsi"/>
          <w:b/>
          <w:i/>
          <w:color w:val="222222"/>
          <w:sz w:val="28"/>
          <w:lang w:val="en-GB" w:eastAsia="en-US"/>
        </w:rPr>
        <w:t>ional Civil Aviation Organisation (ICAO) that:</w:t>
      </w:r>
    </w:p>
    <w:p w14:paraId="64B3A927" w14:textId="77777777" w:rsidR="00CB5C10" w:rsidRPr="00686B12" w:rsidRDefault="00CB5C10" w:rsidP="00DA6DA9">
      <w:pPr>
        <w:pBdr>
          <w:top w:val="single" w:sz="4" w:space="1" w:color="auto"/>
          <w:left w:val="single" w:sz="4" w:space="4" w:color="auto"/>
          <w:bottom w:val="single" w:sz="4" w:space="1" w:color="auto"/>
          <w:right w:val="single" w:sz="4" w:space="4" w:color="auto"/>
        </w:pBdr>
        <w:shd w:val="clear" w:color="auto" w:fill="FFFFFF"/>
        <w:spacing w:before="120"/>
        <w:jc w:val="both"/>
        <w:rPr>
          <w:rFonts w:ascii="Arial Narrow" w:hAnsi="Arial Narrow" w:cstheme="majorHAnsi"/>
          <w:b/>
          <w:i/>
          <w:color w:val="222222"/>
          <w:sz w:val="28"/>
          <w:lang w:val="en-GB" w:eastAsia="en-US"/>
        </w:rPr>
      </w:pPr>
    </w:p>
    <w:p w14:paraId="1610D2A0" w14:textId="0EFDC585" w:rsidR="00A95911" w:rsidRPr="00686B12" w:rsidRDefault="00A95911" w:rsidP="00DA6DA9">
      <w:pPr>
        <w:pBdr>
          <w:top w:val="single" w:sz="4" w:space="1" w:color="auto"/>
          <w:left w:val="single" w:sz="4" w:space="4" w:color="auto"/>
          <w:bottom w:val="single" w:sz="4" w:space="1" w:color="auto"/>
          <w:right w:val="single" w:sz="4" w:space="4" w:color="auto"/>
        </w:pBdr>
        <w:shd w:val="clear" w:color="auto" w:fill="FFFFFF"/>
        <w:spacing w:before="80"/>
        <w:jc w:val="both"/>
        <w:rPr>
          <w:rFonts w:ascii="Arial Narrow" w:hAnsi="Arial Narrow" w:cstheme="majorHAnsi"/>
          <w:color w:val="500050"/>
          <w:sz w:val="28"/>
          <w:lang w:val="en-US" w:eastAsia="en-US"/>
        </w:rPr>
      </w:pPr>
      <w:r w:rsidRPr="00686B12">
        <w:rPr>
          <w:rFonts w:ascii="Arial Narrow" w:hAnsi="Arial Narrow" w:cstheme="majorHAnsi"/>
          <w:color w:val="222222"/>
          <w:sz w:val="28"/>
          <w:lang w:val="en-GB" w:eastAsia="en-US"/>
        </w:rPr>
        <w:t>a)</w:t>
      </w:r>
      <w:r w:rsidR="00CB5C10" w:rsidRPr="00686B12">
        <w:rPr>
          <w:rFonts w:ascii="Arial Narrow" w:hAnsi="Arial Narrow" w:cstheme="majorHAnsi"/>
          <w:color w:val="222222"/>
          <w:sz w:val="28"/>
          <w:lang w:val="en-GB" w:eastAsia="en-US"/>
        </w:rPr>
        <w:t xml:space="preserve"> </w:t>
      </w:r>
      <w:r w:rsidRPr="00686B12">
        <w:rPr>
          <w:rFonts w:ascii="Arial Narrow" w:hAnsi="Arial Narrow" w:cstheme="majorHAnsi"/>
          <w:color w:val="222222"/>
          <w:sz w:val="28"/>
          <w:lang w:val="en-GB" w:eastAsia="en-US"/>
        </w:rPr>
        <w:t>supports efforts by ICAO and IMO to develop global schemes to</w:t>
      </w:r>
      <w:r w:rsidRPr="00686B12">
        <w:rPr>
          <w:rFonts w:ascii="Arial Narrow" w:hAnsi="Arial Narrow" w:cstheme="majorHAnsi"/>
          <w:color w:val="500050"/>
          <w:sz w:val="28"/>
          <w:lang w:val="en-US" w:eastAsia="en-US"/>
        </w:rPr>
        <w:t xml:space="preserve"> </w:t>
      </w:r>
      <w:r w:rsidRPr="00686B12">
        <w:rPr>
          <w:rFonts w:ascii="Arial Narrow" w:hAnsi="Arial Narrow" w:cstheme="majorHAnsi"/>
          <w:color w:val="222222"/>
          <w:sz w:val="28"/>
          <w:lang w:val="en-US" w:eastAsia="en-US"/>
        </w:rPr>
        <w:t>address GHG emissions from international aviation and maritime transport, respectively, including carbon pricing of their emissions,</w:t>
      </w:r>
    </w:p>
    <w:p w14:paraId="1E6CF727" w14:textId="290094F3" w:rsidR="00A95911" w:rsidRPr="00686B12" w:rsidRDefault="002B724E" w:rsidP="00DA6DA9">
      <w:pPr>
        <w:pStyle w:val="Paragraphedeliste"/>
        <w:pBdr>
          <w:top w:val="single" w:sz="4" w:space="1" w:color="auto"/>
          <w:left w:val="single" w:sz="4" w:space="4" w:color="auto"/>
          <w:bottom w:val="single" w:sz="4" w:space="1" w:color="auto"/>
          <w:right w:val="single" w:sz="4" w:space="4" w:color="auto"/>
        </w:pBdr>
        <w:shd w:val="clear" w:color="auto" w:fill="FFFFFF"/>
        <w:spacing w:before="80"/>
        <w:ind w:left="0"/>
        <w:jc w:val="both"/>
        <w:rPr>
          <w:rFonts w:ascii="Arial Narrow" w:hAnsi="Arial Narrow" w:cstheme="majorHAnsi"/>
          <w:color w:val="500050"/>
          <w:sz w:val="28"/>
          <w:lang w:val="en-US" w:eastAsia="en-US"/>
        </w:rPr>
      </w:pPr>
      <w:r w:rsidRPr="00686B12">
        <w:rPr>
          <w:rFonts w:ascii="Arial Narrow" w:hAnsi="Arial Narrow" w:cstheme="majorHAnsi"/>
          <w:color w:val="222222"/>
          <w:sz w:val="28"/>
          <w:lang w:val="en-US" w:eastAsia="en-US"/>
        </w:rPr>
        <w:t xml:space="preserve">c) </w:t>
      </w:r>
      <w:r w:rsidR="00A95911" w:rsidRPr="00686B12">
        <w:rPr>
          <w:rFonts w:ascii="Arial Narrow" w:hAnsi="Arial Narrow" w:cstheme="majorHAnsi"/>
          <w:color w:val="222222"/>
          <w:sz w:val="28"/>
          <w:lang w:val="en-US" w:eastAsia="en-US"/>
        </w:rPr>
        <w:t>clarifies how these carbon pricing schemes can take into account national circumstances of various countries, impact on developing country consumers, and the principles of the different conventions especially CBDRRC under the UNFCCC without distorting competition and avoiding carbon leakage,</w:t>
      </w:r>
    </w:p>
    <w:p w14:paraId="55526164" w14:textId="77777777" w:rsidR="00A95911" w:rsidRPr="00686B12" w:rsidRDefault="00A95911" w:rsidP="00DA6DA9">
      <w:pPr>
        <w:pStyle w:val="Paragraphedeliste"/>
        <w:pBdr>
          <w:top w:val="single" w:sz="4" w:space="1" w:color="auto"/>
          <w:left w:val="single" w:sz="4" w:space="4" w:color="auto"/>
          <w:bottom w:val="single" w:sz="4" w:space="1" w:color="auto"/>
          <w:right w:val="single" w:sz="4" w:space="4" w:color="auto"/>
        </w:pBdr>
        <w:shd w:val="clear" w:color="auto" w:fill="FFFFFF"/>
        <w:spacing w:before="80"/>
        <w:ind w:left="0"/>
        <w:jc w:val="both"/>
        <w:rPr>
          <w:rFonts w:ascii="Arial Narrow" w:hAnsi="Arial Narrow" w:cstheme="majorHAnsi"/>
          <w:color w:val="222222"/>
          <w:sz w:val="28"/>
          <w:lang w:val="en-US" w:eastAsia="en-US"/>
        </w:rPr>
      </w:pPr>
      <w:r w:rsidRPr="00686B12">
        <w:rPr>
          <w:rFonts w:ascii="Arial Narrow" w:hAnsi="Arial Narrow" w:cstheme="majorHAnsi"/>
          <w:color w:val="222222"/>
          <w:sz w:val="28"/>
          <w:lang w:val="en-US" w:eastAsia="en-US"/>
        </w:rPr>
        <w:t>c) recommends that revenues </w:t>
      </w:r>
      <w:r w:rsidRPr="00686B12">
        <w:rPr>
          <w:rFonts w:ascii="Arial Narrow" w:hAnsi="Arial Narrow" w:cstheme="majorHAnsi"/>
          <w:color w:val="222222"/>
          <w:sz w:val="28"/>
          <w:lang w:val="en-GB" w:eastAsia="en-US"/>
        </w:rPr>
        <w:t>resulting from carbon pricing of international transport should be used to support global action on climate change, with a share of the revenue </w:t>
      </w:r>
      <w:r w:rsidRPr="00686B12">
        <w:rPr>
          <w:rFonts w:ascii="Arial Narrow" w:hAnsi="Arial Narrow" w:cstheme="majorHAnsi"/>
          <w:color w:val="222222"/>
          <w:sz w:val="28"/>
          <w:lang w:val="en-US" w:eastAsia="en-US"/>
        </w:rPr>
        <w:t>channeled through the Green Climate Fund.</w:t>
      </w:r>
    </w:p>
    <w:p w14:paraId="546F2B71" w14:textId="77777777" w:rsidR="00FE3BDB" w:rsidRPr="00686B12" w:rsidRDefault="00FE3BDB" w:rsidP="00DA6DA9">
      <w:pPr>
        <w:pBdr>
          <w:top w:val="single" w:sz="4" w:space="1" w:color="auto"/>
          <w:left w:val="single" w:sz="4" w:space="4" w:color="auto"/>
          <w:bottom w:val="single" w:sz="4" w:space="1" w:color="auto"/>
          <w:right w:val="single" w:sz="4" w:space="4" w:color="auto"/>
        </w:pBdr>
        <w:shd w:val="clear" w:color="auto" w:fill="FFFFFF"/>
        <w:spacing w:before="80"/>
        <w:jc w:val="both"/>
        <w:rPr>
          <w:rFonts w:ascii="Arial Narrow" w:hAnsi="Arial Narrow" w:cstheme="majorHAnsi"/>
          <w:color w:val="222222"/>
          <w:sz w:val="28"/>
          <w:lang w:val="en-US" w:eastAsia="en-US"/>
        </w:rPr>
      </w:pPr>
    </w:p>
    <w:p w14:paraId="47E28064" w14:textId="382254BF" w:rsidR="00FE3BDB" w:rsidRPr="00686B12" w:rsidRDefault="00FE3BDB" w:rsidP="00DA6DA9">
      <w:pPr>
        <w:pStyle w:val="Bullets"/>
        <w:numPr>
          <w:ilvl w:val="0"/>
          <w:numId w:val="0"/>
        </w:numPr>
        <w:pBdr>
          <w:top w:val="single" w:sz="4" w:space="1" w:color="auto"/>
          <w:left w:val="single" w:sz="4" w:space="4" w:color="auto"/>
          <w:bottom w:val="single" w:sz="4" w:space="1" w:color="auto"/>
          <w:right w:val="single" w:sz="4" w:space="4" w:color="auto"/>
        </w:pBdr>
        <w:jc w:val="both"/>
        <w:rPr>
          <w:rFonts w:ascii="Arial Narrow" w:hAnsi="Arial Narrow"/>
          <w:sz w:val="28"/>
        </w:rPr>
      </w:pPr>
      <w:r w:rsidRPr="00686B12">
        <w:rPr>
          <w:rFonts w:ascii="Arial Narrow" w:hAnsi="Arial Narrow"/>
          <w:sz w:val="28"/>
        </w:rPr>
        <w:t>After the conclu</w:t>
      </w:r>
      <w:r w:rsidR="004B37F1" w:rsidRPr="00686B12">
        <w:rPr>
          <w:rFonts w:ascii="Arial Narrow" w:hAnsi="Arial Narrow"/>
          <w:sz w:val="28"/>
        </w:rPr>
        <w:t>sion of work under the LCA at CO</w:t>
      </w:r>
      <w:r w:rsidRPr="00686B12">
        <w:rPr>
          <w:rFonts w:ascii="Arial Narrow" w:hAnsi="Arial Narrow"/>
          <w:sz w:val="28"/>
        </w:rPr>
        <w:t>P 18, any further consideration under the UNFCCC of measures to address emissions and financing from international transport should take place under the short-term mitigation track of the ADP.</w:t>
      </w:r>
    </w:p>
    <w:p w14:paraId="57645D36" w14:textId="77777777" w:rsidR="0062728E" w:rsidRPr="00931C7A" w:rsidRDefault="0062728E">
      <w:pPr>
        <w:rPr>
          <w:sz w:val="24"/>
        </w:rPr>
      </w:pPr>
    </w:p>
    <w:sectPr w:rsidR="0062728E" w:rsidRPr="00931C7A" w:rsidSect="0062728E">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19C419" w14:textId="77777777" w:rsidR="00DA6DA9" w:rsidRDefault="00DA6DA9" w:rsidP="00FE3BDB">
      <w:r>
        <w:separator/>
      </w:r>
    </w:p>
  </w:endnote>
  <w:endnote w:type="continuationSeparator" w:id="0">
    <w:p w14:paraId="79D7C4DE" w14:textId="77777777" w:rsidR="00DA6DA9" w:rsidRDefault="00DA6DA9" w:rsidP="00FE3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ヒラギノ角ゴ Pro W3">
    <w:charset w:val="4E"/>
    <w:family w:val="auto"/>
    <w:pitch w:val="variable"/>
    <w:sig w:usb0="E00002FF" w:usb1="7AC7FFFF" w:usb2="00000012" w:usb3="00000000" w:csb0="0002000D" w:csb1="00000000"/>
  </w:font>
  <w:font w:name="SimSun">
    <w:altName w:val="ËÎÌå"/>
    <w:charset w:val="86"/>
    <w:family w:val="auto"/>
    <w:pitch w:val="variable"/>
    <w:sig w:usb0="00000003" w:usb1="080E0000" w:usb2="00000010" w:usb3="00000000" w:csb0="00040001" w:csb1="00000000"/>
  </w:font>
  <w:font w:name="Lucida Grande">
    <w:panose1 w:val="020B0600040502020204"/>
    <w:charset w:val="00"/>
    <w:family w:val="auto"/>
    <w:pitch w:val="variable"/>
    <w:sig w:usb0="E1000AEF" w:usb1="5000A1FF" w:usb2="00000000" w:usb3="00000000" w:csb0="000001BF"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83A08" w14:textId="77777777" w:rsidR="004D1333" w:rsidRDefault="004D1333" w:rsidP="0043634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7223DC2" w14:textId="77777777" w:rsidR="004D1333" w:rsidRDefault="004D1333" w:rsidP="004D1333">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1719D" w14:textId="77777777" w:rsidR="004D1333" w:rsidRDefault="004D1333" w:rsidP="0043634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1FBFC4E6" w14:textId="77777777" w:rsidR="004D1333" w:rsidRDefault="004D1333" w:rsidP="004D1333">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4DE006" w14:textId="77777777" w:rsidR="00DA6DA9" w:rsidRDefault="00DA6DA9" w:rsidP="00FE3BDB">
      <w:r>
        <w:separator/>
      </w:r>
    </w:p>
  </w:footnote>
  <w:footnote w:type="continuationSeparator" w:id="0">
    <w:p w14:paraId="040402B5" w14:textId="77777777" w:rsidR="00DA6DA9" w:rsidRDefault="00DA6DA9" w:rsidP="00FE3BDB">
      <w:r>
        <w:continuationSeparator/>
      </w:r>
    </w:p>
  </w:footnote>
  <w:footnote w:id="1">
    <w:p w14:paraId="0F0A370C" w14:textId="77777777" w:rsidR="00DA6DA9" w:rsidRDefault="00DA6DA9" w:rsidP="00FE3BDB">
      <w:pPr>
        <w:pStyle w:val="Notedebasdepage"/>
      </w:pPr>
      <w:r w:rsidRPr="006A65BC">
        <w:rPr>
          <w:rStyle w:val="Marquenotebasdepage"/>
          <w:rFonts w:ascii="Arial Narrow" w:hAnsi="Arial Narrow"/>
          <w:sz w:val="18"/>
          <w:szCs w:val="18"/>
        </w:rPr>
        <w:footnoteRef/>
      </w:r>
      <w:r w:rsidRPr="006A65BC">
        <w:rPr>
          <w:rFonts w:ascii="Arial Narrow" w:hAnsi="Arial Narrow"/>
          <w:sz w:val="18"/>
          <w:szCs w:val="18"/>
        </w:rPr>
        <w:t xml:space="preserve"> </w:t>
      </w:r>
      <w:r w:rsidRPr="006A65BC">
        <w:rPr>
          <w:rFonts w:ascii="Arial Narrow" w:hAnsi="Arial Narrow"/>
          <w:sz w:val="18"/>
          <w:szCs w:val="18"/>
          <w:lang w:val="en-GB"/>
        </w:rPr>
        <w:t>UNEP predicts that under BAU assumptions, global aviation and shipping combined could be between 1.7 to 2.5 Gt CO2 in 2020. The Potsdam Institute assume total emission to be 1.8 Gt in 2020 (Rogelj et al 2010). Business-as-usual projections by the International Civil Aviation Organisation (ICAO) and International Maritime Organisation (IMO) suggest that in the absence of policies to control them, emissions could triple by 2050. Such unchecked emissions would take up a substantial proportion of any global carbon budget to stay below 2°C.</w:t>
      </w:r>
    </w:p>
  </w:footnote>
  <w:footnote w:id="2">
    <w:p w14:paraId="15EE85C7" w14:textId="77777777" w:rsidR="00DA6DA9" w:rsidRDefault="00DA6DA9" w:rsidP="00FE3BDB">
      <w:pPr>
        <w:pStyle w:val="Notedebasdepage"/>
      </w:pPr>
      <w:r w:rsidRPr="006A65BC">
        <w:rPr>
          <w:rStyle w:val="Marquenotebasdepage"/>
          <w:rFonts w:ascii="Arial Narrow" w:hAnsi="Arial Narrow"/>
          <w:sz w:val="18"/>
          <w:szCs w:val="18"/>
        </w:rPr>
        <w:footnoteRef/>
      </w:r>
      <w:r w:rsidRPr="006A65BC">
        <w:rPr>
          <w:rFonts w:ascii="Arial Narrow" w:hAnsi="Arial Narrow"/>
          <w:sz w:val="18"/>
          <w:szCs w:val="18"/>
        </w:rPr>
        <w:t xml:space="preserve"> </w:t>
      </w:r>
      <w:r w:rsidRPr="006A65BC">
        <w:rPr>
          <w:rFonts w:ascii="Arial Narrow" w:hAnsi="Arial Narrow"/>
          <w:sz w:val="18"/>
          <w:szCs w:val="18"/>
          <w:lang w:val="en-GB"/>
        </w:rPr>
        <w:t>A 2009 IMO report estimates that 250 MtCO2 reductions in 2020 are achievable with no-regret measures (with an uncertainty range from 130 to 360 MtCO2). The potential in the international aviation sector is not yet fully estimated; preliminary conservative estimates indicate the sector could achieve at least 110 MtCO2 reductions by 2020. The UNEP report estimates a potential to close the gap by 1.3 GtCO2 with mitigation actions considered by ICAO/IMO.</w:t>
      </w:r>
    </w:p>
  </w:footnote>
  <w:footnote w:id="3">
    <w:p w14:paraId="7A8EE287" w14:textId="77777777" w:rsidR="00DA6DA9" w:rsidRPr="00206216" w:rsidRDefault="00DA6DA9" w:rsidP="00FE3BDB">
      <w:pPr>
        <w:pStyle w:val="Notedebasdepage"/>
        <w:rPr>
          <w:rFonts w:ascii="Arial Narrow" w:hAnsi="Arial Narrow"/>
          <w:sz w:val="18"/>
        </w:rPr>
      </w:pPr>
      <w:r w:rsidRPr="00206216">
        <w:rPr>
          <w:rStyle w:val="Marquenotebasdepage"/>
          <w:rFonts w:ascii="Arial Narrow" w:hAnsi="Arial Narrow"/>
          <w:sz w:val="18"/>
        </w:rPr>
        <w:footnoteRef/>
      </w:r>
      <w:r w:rsidRPr="00206216">
        <w:rPr>
          <w:rFonts w:ascii="Arial Narrow" w:hAnsi="Arial Narrow"/>
          <w:sz w:val="18"/>
        </w:rPr>
        <w:t xml:space="preserve"> See MEPC GHG-WG_3-3-11, WWF</w:t>
      </w:r>
    </w:p>
  </w:footnote>
  <w:footnote w:id="4">
    <w:p w14:paraId="569560EF" w14:textId="3E03D150" w:rsidR="00DA6DA9" w:rsidRDefault="00DA6DA9" w:rsidP="00FE3BDB">
      <w:pPr>
        <w:pStyle w:val="Notedebasdepage"/>
      </w:pPr>
      <w:r w:rsidRPr="00206216">
        <w:rPr>
          <w:rStyle w:val="Marquenotebasdepage"/>
          <w:rFonts w:ascii="Arial Narrow" w:hAnsi="Arial Narrow"/>
          <w:sz w:val="18"/>
        </w:rPr>
        <w:footnoteRef/>
      </w:r>
      <w:r w:rsidRPr="00206216">
        <w:rPr>
          <w:rFonts w:ascii="Arial Narrow" w:hAnsi="Arial Narrow"/>
          <w:sz w:val="18"/>
        </w:rPr>
        <w:t xml:space="preserve"> </w:t>
      </w:r>
      <w:r w:rsidR="00D93D74" w:rsidRPr="00206216">
        <w:rPr>
          <w:rFonts w:ascii="Arial Narrow" w:hAnsi="Arial Narrow"/>
          <w:sz w:val="18"/>
        </w:rPr>
        <w:t xml:space="preserve">AGF </w:t>
      </w:r>
      <w:r w:rsidRPr="00206216">
        <w:rPr>
          <w:rFonts w:ascii="Arial Narrow" w:hAnsi="Arial Narrow"/>
          <w:sz w:val="18"/>
        </w:rPr>
        <w:t>and WB/IMF reports</w:t>
      </w:r>
      <w:r w:rsidR="00D93D74" w:rsidRPr="00206216">
        <w:rPr>
          <w:sz w:val="18"/>
        </w:rPr>
        <w:t xml:space="preserve"> </w:t>
      </w:r>
    </w:p>
  </w:footnote>
  <w:footnote w:id="5">
    <w:p w14:paraId="3BB48F76" w14:textId="77777777" w:rsidR="00DA6DA9" w:rsidRPr="008021DD" w:rsidRDefault="00DA6DA9" w:rsidP="00FE3BDB">
      <w:pPr>
        <w:pStyle w:val="Notedebasdepage"/>
        <w:rPr>
          <w:rFonts w:ascii="Arial Narrow" w:hAnsi="Arial Narrow"/>
        </w:rPr>
      </w:pPr>
      <w:r w:rsidRPr="008021DD">
        <w:rPr>
          <w:rStyle w:val="Marquenotebasdepage"/>
          <w:rFonts w:ascii="Arial Narrow" w:hAnsi="Arial Narrow"/>
        </w:rPr>
        <w:footnoteRef/>
      </w:r>
      <w:r w:rsidRPr="008021DD">
        <w:rPr>
          <w:rFonts w:ascii="Arial Narrow" w:hAnsi="Arial Narrow"/>
        </w:rPr>
        <w:t xml:space="preserve"> This figure is an estimate of the amount of funds remaining after compensating developing countries for costs born by them, to ensure there is no net incidence on developing countries.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E083D"/>
    <w:multiLevelType w:val="hybridMultilevel"/>
    <w:tmpl w:val="3C948E5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25433299"/>
    <w:multiLevelType w:val="hybridMultilevel"/>
    <w:tmpl w:val="C9A69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F730655"/>
    <w:multiLevelType w:val="hybridMultilevel"/>
    <w:tmpl w:val="186E8BD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667B5008"/>
    <w:multiLevelType w:val="hybridMultilevel"/>
    <w:tmpl w:val="7C381178"/>
    <w:lvl w:ilvl="0" w:tplc="4C84C51E">
      <w:start w:val="1"/>
      <w:numFmt w:val="bullet"/>
      <w:pStyle w:val="Bullets"/>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4">
    <w:nsid w:val="74B1746F"/>
    <w:multiLevelType w:val="hybridMultilevel"/>
    <w:tmpl w:val="36BAF38A"/>
    <w:lvl w:ilvl="0" w:tplc="4C84C51E">
      <w:start w:val="1"/>
      <w:numFmt w:val="bullet"/>
      <w:lvlText w:val=""/>
      <w:lvlJc w:val="left"/>
      <w:pPr>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911"/>
    <w:rsid w:val="000911F2"/>
    <w:rsid w:val="00191754"/>
    <w:rsid w:val="00206216"/>
    <w:rsid w:val="002B724E"/>
    <w:rsid w:val="002C2630"/>
    <w:rsid w:val="003535D3"/>
    <w:rsid w:val="00387135"/>
    <w:rsid w:val="0046613B"/>
    <w:rsid w:val="004B37F1"/>
    <w:rsid w:val="004D1333"/>
    <w:rsid w:val="00610532"/>
    <w:rsid w:val="0062728E"/>
    <w:rsid w:val="00686B12"/>
    <w:rsid w:val="008021DD"/>
    <w:rsid w:val="00814D11"/>
    <w:rsid w:val="008524D8"/>
    <w:rsid w:val="00931C7A"/>
    <w:rsid w:val="009F4314"/>
    <w:rsid w:val="009F4974"/>
    <w:rsid w:val="00A00E64"/>
    <w:rsid w:val="00A853D9"/>
    <w:rsid w:val="00A95911"/>
    <w:rsid w:val="00B02E40"/>
    <w:rsid w:val="00B34EA9"/>
    <w:rsid w:val="00BB37FF"/>
    <w:rsid w:val="00BC2526"/>
    <w:rsid w:val="00BD30DD"/>
    <w:rsid w:val="00BE342F"/>
    <w:rsid w:val="00CB5C10"/>
    <w:rsid w:val="00CD2AA7"/>
    <w:rsid w:val="00D16244"/>
    <w:rsid w:val="00D2697A"/>
    <w:rsid w:val="00D93D74"/>
    <w:rsid w:val="00DA6DA9"/>
    <w:rsid w:val="00DB64F2"/>
    <w:rsid w:val="00DE7CCB"/>
    <w:rsid w:val="00E22559"/>
    <w:rsid w:val="00EB27D9"/>
    <w:rsid w:val="00F25410"/>
    <w:rsid w:val="00FC2409"/>
    <w:rsid w:val="00FE3BD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23ACDE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911"/>
    <w:rPr>
      <w:rFonts w:ascii="Calibri" w:eastAsia="Calibri" w:hAnsi="Calibri" w:cs="Calibri"/>
      <w:sz w:val="22"/>
      <w:szCs w:val="22"/>
      <w:lang w:val="en-AU" w:eastAsia="en-AU"/>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ullets">
    <w:name w:val="Bullets"/>
    <w:uiPriority w:val="99"/>
    <w:rsid w:val="00A95911"/>
    <w:pPr>
      <w:numPr>
        <w:numId w:val="1"/>
      </w:numPr>
      <w:tabs>
        <w:tab w:val="left" w:pos="-2530"/>
      </w:tabs>
      <w:spacing w:after="120"/>
    </w:pPr>
    <w:rPr>
      <w:rFonts w:ascii="Calibri" w:eastAsia="ヒラギノ角ゴ Pro W3" w:hAnsi="Calibri" w:cs="Calibri"/>
      <w:color w:val="000000"/>
      <w:sz w:val="22"/>
      <w:szCs w:val="22"/>
      <w:lang w:val="en-US" w:eastAsia="de-DE"/>
    </w:rPr>
  </w:style>
  <w:style w:type="paragraph" w:styleId="Paragraphedeliste">
    <w:name w:val="List Paragraph"/>
    <w:basedOn w:val="Normal"/>
    <w:uiPriority w:val="34"/>
    <w:qFormat/>
    <w:rsid w:val="00A95911"/>
    <w:pPr>
      <w:ind w:left="720"/>
    </w:pPr>
  </w:style>
  <w:style w:type="paragraph" w:customStyle="1" w:styleId="FreeForm">
    <w:name w:val="Free Form"/>
    <w:uiPriority w:val="99"/>
    <w:rsid w:val="00A95911"/>
    <w:rPr>
      <w:rFonts w:ascii="Times New Roman" w:eastAsia="ヒラギノ角ゴ Pro W3" w:hAnsi="Times New Roman" w:cs="Times New Roman"/>
      <w:color w:val="000000"/>
      <w:lang w:eastAsia="en-AU"/>
    </w:rPr>
  </w:style>
  <w:style w:type="paragraph" w:customStyle="1" w:styleId="ColorfulList-Accent11">
    <w:name w:val="Colorful List - Accent 11"/>
    <w:basedOn w:val="Normal"/>
    <w:uiPriority w:val="99"/>
    <w:rsid w:val="00A95911"/>
    <w:pPr>
      <w:ind w:left="720"/>
    </w:pPr>
  </w:style>
  <w:style w:type="paragraph" w:styleId="Notedebasdepage">
    <w:name w:val="footnote text"/>
    <w:basedOn w:val="Normal"/>
    <w:link w:val="NotedebasdepageCar"/>
    <w:uiPriority w:val="99"/>
    <w:rsid w:val="00FE3BDB"/>
    <w:rPr>
      <w:sz w:val="20"/>
      <w:szCs w:val="20"/>
    </w:rPr>
  </w:style>
  <w:style w:type="character" w:customStyle="1" w:styleId="NotedebasdepageCar">
    <w:name w:val="Note de bas de page Car"/>
    <w:basedOn w:val="Policepardfaut"/>
    <w:link w:val="Notedebasdepage"/>
    <w:uiPriority w:val="99"/>
    <w:rsid w:val="00FE3BDB"/>
    <w:rPr>
      <w:rFonts w:ascii="Calibri" w:eastAsia="Calibri" w:hAnsi="Calibri" w:cs="Calibri"/>
      <w:sz w:val="20"/>
      <w:szCs w:val="20"/>
      <w:lang w:val="en-AU" w:eastAsia="en-AU"/>
    </w:rPr>
  </w:style>
  <w:style w:type="character" w:styleId="Marquenotebasdepage">
    <w:name w:val="footnote reference"/>
    <w:basedOn w:val="Policepardfaut"/>
    <w:uiPriority w:val="99"/>
    <w:rsid w:val="00FE3BDB"/>
    <w:rPr>
      <w:rFonts w:cs="Times New Roman"/>
      <w:vertAlign w:val="superscript"/>
    </w:rPr>
  </w:style>
  <w:style w:type="character" w:styleId="Marquedannotation">
    <w:name w:val="annotation reference"/>
    <w:basedOn w:val="Policepardfaut"/>
    <w:uiPriority w:val="99"/>
    <w:rsid w:val="00FE3BDB"/>
    <w:rPr>
      <w:rFonts w:cs="Times New Roman"/>
      <w:sz w:val="18"/>
      <w:szCs w:val="18"/>
    </w:rPr>
  </w:style>
  <w:style w:type="paragraph" w:styleId="Commentaire">
    <w:name w:val="annotation text"/>
    <w:basedOn w:val="Normal"/>
    <w:link w:val="CommentaireCar"/>
    <w:uiPriority w:val="99"/>
    <w:rsid w:val="00FE3BDB"/>
    <w:rPr>
      <w:rFonts w:eastAsia="SimSun"/>
      <w:sz w:val="20"/>
      <w:szCs w:val="20"/>
      <w:lang w:val="pt-BR" w:eastAsia="pt-BR"/>
    </w:rPr>
  </w:style>
  <w:style w:type="character" w:customStyle="1" w:styleId="CommentaireCar">
    <w:name w:val="Commentaire Car"/>
    <w:basedOn w:val="Policepardfaut"/>
    <w:link w:val="Commentaire"/>
    <w:uiPriority w:val="99"/>
    <w:rsid w:val="00FE3BDB"/>
    <w:rPr>
      <w:rFonts w:ascii="Calibri" w:eastAsia="SimSun" w:hAnsi="Calibri" w:cs="Calibri"/>
      <w:sz w:val="20"/>
      <w:szCs w:val="20"/>
      <w:lang w:val="pt-BR" w:eastAsia="pt-BR"/>
    </w:rPr>
  </w:style>
  <w:style w:type="paragraph" w:styleId="Textedebulles">
    <w:name w:val="Balloon Text"/>
    <w:basedOn w:val="Normal"/>
    <w:link w:val="TextedebullesCar"/>
    <w:uiPriority w:val="99"/>
    <w:semiHidden/>
    <w:unhideWhenUsed/>
    <w:rsid w:val="00FE3BD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E3BDB"/>
    <w:rPr>
      <w:rFonts w:ascii="Lucida Grande" w:eastAsia="Calibri" w:hAnsi="Lucida Grande" w:cs="Lucida Grande"/>
      <w:sz w:val="18"/>
      <w:szCs w:val="18"/>
      <w:lang w:val="en-AU" w:eastAsia="en-AU"/>
    </w:rPr>
  </w:style>
  <w:style w:type="paragraph" w:styleId="Pieddepage">
    <w:name w:val="footer"/>
    <w:basedOn w:val="Normal"/>
    <w:link w:val="PieddepageCar"/>
    <w:uiPriority w:val="99"/>
    <w:unhideWhenUsed/>
    <w:rsid w:val="004D1333"/>
    <w:pPr>
      <w:tabs>
        <w:tab w:val="center" w:pos="4536"/>
        <w:tab w:val="right" w:pos="9072"/>
      </w:tabs>
    </w:pPr>
  </w:style>
  <w:style w:type="character" w:customStyle="1" w:styleId="PieddepageCar">
    <w:name w:val="Pied de page Car"/>
    <w:basedOn w:val="Policepardfaut"/>
    <w:link w:val="Pieddepage"/>
    <w:uiPriority w:val="99"/>
    <w:rsid w:val="004D1333"/>
    <w:rPr>
      <w:rFonts w:ascii="Calibri" w:eastAsia="Calibri" w:hAnsi="Calibri" w:cs="Calibri"/>
      <w:sz w:val="22"/>
      <w:szCs w:val="22"/>
      <w:lang w:val="en-AU" w:eastAsia="en-AU"/>
    </w:rPr>
  </w:style>
  <w:style w:type="character" w:styleId="Numrodepage">
    <w:name w:val="page number"/>
    <w:basedOn w:val="Policepardfaut"/>
    <w:uiPriority w:val="99"/>
    <w:semiHidden/>
    <w:unhideWhenUsed/>
    <w:rsid w:val="004D133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911"/>
    <w:rPr>
      <w:rFonts w:ascii="Calibri" w:eastAsia="Calibri" w:hAnsi="Calibri" w:cs="Calibri"/>
      <w:sz w:val="22"/>
      <w:szCs w:val="22"/>
      <w:lang w:val="en-AU" w:eastAsia="en-AU"/>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ullets">
    <w:name w:val="Bullets"/>
    <w:uiPriority w:val="99"/>
    <w:rsid w:val="00A95911"/>
    <w:pPr>
      <w:numPr>
        <w:numId w:val="1"/>
      </w:numPr>
      <w:tabs>
        <w:tab w:val="left" w:pos="-2530"/>
      </w:tabs>
      <w:spacing w:after="120"/>
    </w:pPr>
    <w:rPr>
      <w:rFonts w:ascii="Calibri" w:eastAsia="ヒラギノ角ゴ Pro W3" w:hAnsi="Calibri" w:cs="Calibri"/>
      <w:color w:val="000000"/>
      <w:sz w:val="22"/>
      <w:szCs w:val="22"/>
      <w:lang w:val="en-US" w:eastAsia="de-DE"/>
    </w:rPr>
  </w:style>
  <w:style w:type="paragraph" w:styleId="Paragraphedeliste">
    <w:name w:val="List Paragraph"/>
    <w:basedOn w:val="Normal"/>
    <w:uiPriority w:val="34"/>
    <w:qFormat/>
    <w:rsid w:val="00A95911"/>
    <w:pPr>
      <w:ind w:left="720"/>
    </w:pPr>
  </w:style>
  <w:style w:type="paragraph" w:customStyle="1" w:styleId="FreeForm">
    <w:name w:val="Free Form"/>
    <w:uiPriority w:val="99"/>
    <w:rsid w:val="00A95911"/>
    <w:rPr>
      <w:rFonts w:ascii="Times New Roman" w:eastAsia="ヒラギノ角ゴ Pro W3" w:hAnsi="Times New Roman" w:cs="Times New Roman"/>
      <w:color w:val="000000"/>
      <w:lang w:eastAsia="en-AU"/>
    </w:rPr>
  </w:style>
  <w:style w:type="paragraph" w:customStyle="1" w:styleId="ColorfulList-Accent11">
    <w:name w:val="Colorful List - Accent 11"/>
    <w:basedOn w:val="Normal"/>
    <w:uiPriority w:val="99"/>
    <w:rsid w:val="00A95911"/>
    <w:pPr>
      <w:ind w:left="720"/>
    </w:pPr>
  </w:style>
  <w:style w:type="paragraph" w:styleId="Notedebasdepage">
    <w:name w:val="footnote text"/>
    <w:basedOn w:val="Normal"/>
    <w:link w:val="NotedebasdepageCar"/>
    <w:uiPriority w:val="99"/>
    <w:rsid w:val="00FE3BDB"/>
    <w:rPr>
      <w:sz w:val="20"/>
      <w:szCs w:val="20"/>
    </w:rPr>
  </w:style>
  <w:style w:type="character" w:customStyle="1" w:styleId="NotedebasdepageCar">
    <w:name w:val="Note de bas de page Car"/>
    <w:basedOn w:val="Policepardfaut"/>
    <w:link w:val="Notedebasdepage"/>
    <w:uiPriority w:val="99"/>
    <w:rsid w:val="00FE3BDB"/>
    <w:rPr>
      <w:rFonts w:ascii="Calibri" w:eastAsia="Calibri" w:hAnsi="Calibri" w:cs="Calibri"/>
      <w:sz w:val="20"/>
      <w:szCs w:val="20"/>
      <w:lang w:val="en-AU" w:eastAsia="en-AU"/>
    </w:rPr>
  </w:style>
  <w:style w:type="character" w:styleId="Marquenotebasdepage">
    <w:name w:val="footnote reference"/>
    <w:basedOn w:val="Policepardfaut"/>
    <w:uiPriority w:val="99"/>
    <w:rsid w:val="00FE3BDB"/>
    <w:rPr>
      <w:rFonts w:cs="Times New Roman"/>
      <w:vertAlign w:val="superscript"/>
    </w:rPr>
  </w:style>
  <w:style w:type="character" w:styleId="Marquedannotation">
    <w:name w:val="annotation reference"/>
    <w:basedOn w:val="Policepardfaut"/>
    <w:uiPriority w:val="99"/>
    <w:rsid w:val="00FE3BDB"/>
    <w:rPr>
      <w:rFonts w:cs="Times New Roman"/>
      <w:sz w:val="18"/>
      <w:szCs w:val="18"/>
    </w:rPr>
  </w:style>
  <w:style w:type="paragraph" w:styleId="Commentaire">
    <w:name w:val="annotation text"/>
    <w:basedOn w:val="Normal"/>
    <w:link w:val="CommentaireCar"/>
    <w:uiPriority w:val="99"/>
    <w:rsid w:val="00FE3BDB"/>
    <w:rPr>
      <w:rFonts w:eastAsia="SimSun"/>
      <w:sz w:val="20"/>
      <w:szCs w:val="20"/>
      <w:lang w:val="pt-BR" w:eastAsia="pt-BR"/>
    </w:rPr>
  </w:style>
  <w:style w:type="character" w:customStyle="1" w:styleId="CommentaireCar">
    <w:name w:val="Commentaire Car"/>
    <w:basedOn w:val="Policepardfaut"/>
    <w:link w:val="Commentaire"/>
    <w:uiPriority w:val="99"/>
    <w:rsid w:val="00FE3BDB"/>
    <w:rPr>
      <w:rFonts w:ascii="Calibri" w:eastAsia="SimSun" w:hAnsi="Calibri" w:cs="Calibri"/>
      <w:sz w:val="20"/>
      <w:szCs w:val="20"/>
      <w:lang w:val="pt-BR" w:eastAsia="pt-BR"/>
    </w:rPr>
  </w:style>
  <w:style w:type="paragraph" w:styleId="Textedebulles">
    <w:name w:val="Balloon Text"/>
    <w:basedOn w:val="Normal"/>
    <w:link w:val="TextedebullesCar"/>
    <w:uiPriority w:val="99"/>
    <w:semiHidden/>
    <w:unhideWhenUsed/>
    <w:rsid w:val="00FE3BD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E3BDB"/>
    <w:rPr>
      <w:rFonts w:ascii="Lucida Grande" w:eastAsia="Calibri" w:hAnsi="Lucida Grande" w:cs="Lucida Grande"/>
      <w:sz w:val="18"/>
      <w:szCs w:val="18"/>
      <w:lang w:val="en-AU" w:eastAsia="en-AU"/>
    </w:rPr>
  </w:style>
  <w:style w:type="paragraph" w:styleId="Pieddepage">
    <w:name w:val="footer"/>
    <w:basedOn w:val="Normal"/>
    <w:link w:val="PieddepageCar"/>
    <w:uiPriority w:val="99"/>
    <w:unhideWhenUsed/>
    <w:rsid w:val="004D1333"/>
    <w:pPr>
      <w:tabs>
        <w:tab w:val="center" w:pos="4536"/>
        <w:tab w:val="right" w:pos="9072"/>
      </w:tabs>
    </w:pPr>
  </w:style>
  <w:style w:type="character" w:customStyle="1" w:styleId="PieddepageCar">
    <w:name w:val="Pied de page Car"/>
    <w:basedOn w:val="Policepardfaut"/>
    <w:link w:val="Pieddepage"/>
    <w:uiPriority w:val="99"/>
    <w:rsid w:val="004D1333"/>
    <w:rPr>
      <w:rFonts w:ascii="Calibri" w:eastAsia="Calibri" w:hAnsi="Calibri" w:cs="Calibri"/>
      <w:sz w:val="22"/>
      <w:szCs w:val="22"/>
      <w:lang w:val="en-AU" w:eastAsia="en-AU"/>
    </w:rPr>
  </w:style>
  <w:style w:type="character" w:styleId="Numrodepage">
    <w:name w:val="page number"/>
    <w:basedOn w:val="Policepardfaut"/>
    <w:uiPriority w:val="99"/>
    <w:semiHidden/>
    <w:unhideWhenUsed/>
    <w:rsid w:val="004D1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776</Words>
  <Characters>4273</Characters>
  <Application>Microsoft Macintosh Word</Application>
  <DocSecurity>0</DocSecurity>
  <Lines>35</Lines>
  <Paragraphs>10</Paragraphs>
  <ScaleCrop>false</ScaleCrop>
  <Company>Réseau Action Climat</Company>
  <LinksUpToDate>false</LinksUpToDate>
  <CharactersWithSpaces>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Alix Mazounie</dc:creator>
  <cp:keywords/>
  <dc:description/>
  <cp:lastModifiedBy>Alix Mazounie</cp:lastModifiedBy>
  <cp:revision>45</cp:revision>
  <dcterms:created xsi:type="dcterms:W3CDTF">2012-11-19T12:56:00Z</dcterms:created>
  <dcterms:modified xsi:type="dcterms:W3CDTF">2012-11-19T13:51:00Z</dcterms:modified>
</cp:coreProperties>
</file>